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0"/>
        <w:tblW w:w="11232" w:type="dxa"/>
        <w:tblInd w:w="-245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Look w:val="0000"/>
      </w:tblPr>
      <w:tblGrid>
        <w:gridCol w:w="965"/>
        <w:gridCol w:w="97"/>
        <w:gridCol w:w="1232"/>
        <w:gridCol w:w="1079"/>
        <w:gridCol w:w="1094"/>
        <w:gridCol w:w="1350"/>
        <w:gridCol w:w="444"/>
        <w:gridCol w:w="9"/>
        <w:gridCol w:w="1083"/>
        <w:gridCol w:w="1257"/>
        <w:gridCol w:w="462"/>
        <w:gridCol w:w="441"/>
        <w:gridCol w:w="540"/>
        <w:gridCol w:w="9"/>
        <w:gridCol w:w="540"/>
        <w:gridCol w:w="621"/>
        <w:gridCol w:w="9"/>
      </w:tblGrid>
      <w:tr w:rsidR="005C3D21" w:rsidTr="00CA7253">
        <w:trPr>
          <w:trHeight w:val="252"/>
        </w:trPr>
        <w:tc>
          <w:tcPr>
            <w:tcW w:w="6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C3D21" w:rsidRPr="00C968E4" w:rsidRDefault="00C968E4" w:rsidP="00C968E4">
            <w:pPr>
              <w:pStyle w:val="Normal1"/>
              <w:ind w:left="-84"/>
              <w:rPr>
                <w:sz w:val="20"/>
                <w:szCs w:val="20"/>
              </w:rPr>
            </w:pPr>
            <w:r w:rsidRPr="00C968E4">
              <w:rPr>
                <w:sz w:val="20"/>
                <w:szCs w:val="20"/>
              </w:rPr>
              <w:t>CMR INSTITUTE OF TECHNOLOGY</w:t>
            </w:r>
          </w:p>
        </w:tc>
        <w:tc>
          <w:tcPr>
            <w:tcW w:w="4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C3D21" w:rsidRPr="005C3D21" w:rsidRDefault="005C3D21" w:rsidP="005C3D21">
            <w:pPr>
              <w:pStyle w:val="Normal1"/>
              <w:ind w:left="-84"/>
              <w:jc w:val="right"/>
              <w:rPr>
                <w:b/>
              </w:rPr>
            </w:pPr>
            <w:r w:rsidRPr="005C3D21">
              <w:rPr>
                <w:b/>
                <w:noProof/>
              </w:rPr>
              <w:drawing>
                <wp:inline distT="0" distB="0" distL="0" distR="0">
                  <wp:extent cx="1229106" cy="755904"/>
                  <wp:effectExtent l="19050" t="0" r="9144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7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D21" w:rsidTr="00CA7253">
        <w:trPr>
          <w:trHeight w:val="252"/>
        </w:trPr>
        <w:tc>
          <w:tcPr>
            <w:tcW w:w="11232" w:type="dxa"/>
            <w:gridSpan w:val="17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/>
            <w:vAlign w:val="center"/>
          </w:tcPr>
          <w:p w:rsidR="005C3D21" w:rsidRPr="00705F16" w:rsidRDefault="004B4485" w:rsidP="00794AC3">
            <w:pPr>
              <w:pStyle w:val="Normal1"/>
              <w:ind w:left="-84"/>
              <w:jc w:val="center"/>
            </w:pPr>
            <w:r>
              <w:t>I</w:t>
            </w:r>
            <w:r w:rsidR="00794AC3">
              <w:t>nternal</w:t>
            </w:r>
            <w:r w:rsidR="005F658F">
              <w:t xml:space="preserve"> Test</w:t>
            </w:r>
            <w:r w:rsidR="000172ED">
              <w:t xml:space="preserve"> I</w:t>
            </w:r>
            <w:r w:rsidR="005C3D21" w:rsidRPr="00705F16">
              <w:t xml:space="preserve"> – </w:t>
            </w:r>
            <w:r w:rsidR="00794AC3">
              <w:t>March</w:t>
            </w:r>
            <w:r w:rsidR="005C3D21" w:rsidRPr="00705F16">
              <w:t xml:space="preserve"> 201</w:t>
            </w:r>
            <w:r w:rsidR="00794AC3">
              <w:t>8</w:t>
            </w:r>
          </w:p>
        </w:tc>
      </w:tr>
      <w:tr w:rsidR="00B7395C" w:rsidTr="00CA7253">
        <w:trPr>
          <w:gridAfter w:val="1"/>
          <w:wAfter w:w="9" w:type="dxa"/>
          <w:trHeight w:val="323"/>
        </w:trPr>
        <w:tc>
          <w:tcPr>
            <w:tcW w:w="9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C61777">
            <w:pPr>
              <w:pStyle w:val="Normal1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Sub:</w:t>
            </w:r>
          </w:p>
        </w:tc>
        <w:tc>
          <w:tcPr>
            <w:tcW w:w="529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794AC3" w:rsidP="00C61777">
            <w:pPr>
              <w:pStyle w:val="Normal1"/>
              <w:rPr>
                <w:sz w:val="20"/>
                <w:szCs w:val="20"/>
              </w:rPr>
            </w:pPr>
            <w:r>
              <w:t>Data Warehousing &amp; Data Mining</w:t>
            </w:r>
          </w:p>
        </w:tc>
        <w:tc>
          <w:tcPr>
            <w:tcW w:w="10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191BE7" w:rsidP="00191BE7">
            <w:pPr>
              <w:pStyle w:val="Normal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 </w:t>
            </w:r>
            <w:r w:rsidR="00B7395C" w:rsidRPr="00191BE7">
              <w:rPr>
                <w:sz w:val="20"/>
                <w:szCs w:val="20"/>
              </w:rPr>
              <w:t>Code:</w:t>
            </w:r>
          </w:p>
        </w:tc>
        <w:tc>
          <w:tcPr>
            <w:tcW w:w="12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1327FD" w:rsidP="00794AC3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16MCA</w:t>
            </w:r>
            <w:r w:rsidR="00794AC3">
              <w:rPr>
                <w:sz w:val="20"/>
                <w:szCs w:val="20"/>
              </w:rPr>
              <w:t>442</w:t>
            </w:r>
          </w:p>
        </w:tc>
        <w:tc>
          <w:tcPr>
            <w:tcW w:w="9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191BE7">
            <w:pPr>
              <w:pStyle w:val="Normal1"/>
              <w:ind w:left="-84"/>
              <w:jc w:val="right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Branch:</w:t>
            </w:r>
          </w:p>
        </w:tc>
        <w:tc>
          <w:tcPr>
            <w:tcW w:w="171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1327FD" w:rsidP="00B7395C"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MCA</w:t>
            </w:r>
          </w:p>
        </w:tc>
      </w:tr>
      <w:tr w:rsidR="00B7395C" w:rsidTr="00CA7253">
        <w:trPr>
          <w:gridAfter w:val="1"/>
          <w:wAfter w:w="9" w:type="dxa"/>
          <w:trHeight w:val="269"/>
        </w:trPr>
        <w:tc>
          <w:tcPr>
            <w:tcW w:w="9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B7395C">
            <w:pPr>
              <w:pStyle w:val="Normal1"/>
              <w:ind w:left="-113"/>
              <w:jc w:val="center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Date:</w:t>
            </w:r>
          </w:p>
        </w:tc>
        <w:tc>
          <w:tcPr>
            <w:tcW w:w="13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4B4485" w:rsidP="00794AC3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A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</w:t>
            </w:r>
            <w:r w:rsidR="00794AC3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/1</w:t>
            </w:r>
            <w:r w:rsidR="00794AC3">
              <w:rPr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705F16">
            <w:pPr>
              <w:pStyle w:val="Normal1"/>
              <w:ind w:left="-102"/>
              <w:jc w:val="right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Duration:</w:t>
            </w:r>
          </w:p>
        </w:tc>
        <w:tc>
          <w:tcPr>
            <w:tcW w:w="10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B7395C">
            <w:pPr>
              <w:pStyle w:val="Normal1"/>
              <w:ind w:left="-84"/>
              <w:jc w:val="center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90 min’s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705F16">
            <w:pPr>
              <w:pStyle w:val="Normal1"/>
              <w:jc w:val="right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Max Marks:</w:t>
            </w:r>
          </w:p>
        </w:tc>
        <w:tc>
          <w:tcPr>
            <w:tcW w:w="4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B7395C">
            <w:pPr>
              <w:pStyle w:val="Normal1"/>
              <w:ind w:left="-84"/>
              <w:jc w:val="center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50</w:t>
            </w:r>
          </w:p>
        </w:tc>
        <w:tc>
          <w:tcPr>
            <w:tcW w:w="109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191BE7">
            <w:pPr>
              <w:pStyle w:val="Normal1"/>
              <w:jc w:val="right"/>
              <w:rPr>
                <w:sz w:val="20"/>
                <w:szCs w:val="20"/>
              </w:rPr>
            </w:pPr>
            <w:r w:rsidRPr="00191BE7">
              <w:rPr>
                <w:sz w:val="20"/>
                <w:szCs w:val="20"/>
              </w:rPr>
              <w:t>Sem/Sec:</w:t>
            </w:r>
          </w:p>
        </w:tc>
        <w:tc>
          <w:tcPr>
            <w:tcW w:w="270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CA7253" w:rsidP="00B7395C"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B7395C" w:rsidRPr="00191BE7" w:rsidRDefault="00B7395C" w:rsidP="00B7395C">
            <w:pPr>
              <w:pStyle w:val="Normal1"/>
              <w:ind w:left="-84"/>
              <w:jc w:val="center"/>
              <w:rPr>
                <w:sz w:val="20"/>
                <w:szCs w:val="20"/>
              </w:rPr>
            </w:pPr>
            <w:r w:rsidRPr="00191BE7">
              <w:rPr>
                <w:color w:val="808080"/>
                <w:sz w:val="20"/>
                <w:szCs w:val="20"/>
              </w:rPr>
              <w:t>OBE</w:t>
            </w:r>
          </w:p>
        </w:tc>
      </w:tr>
      <w:tr w:rsidR="00705F16" w:rsidTr="00C968E4">
        <w:trPr>
          <w:trHeight w:val="251"/>
        </w:trPr>
        <w:tc>
          <w:tcPr>
            <w:tcW w:w="9072" w:type="dxa"/>
            <w:gridSpan w:val="11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395C" w:rsidRPr="00705F16" w:rsidRDefault="00C968E4" w:rsidP="00705F16">
            <w:pPr>
              <w:pStyle w:val="Normal1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Answer all the five questions having internal choice</w:t>
            </w:r>
          </w:p>
        </w:tc>
        <w:tc>
          <w:tcPr>
            <w:tcW w:w="990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395C" w:rsidRPr="00191BE7" w:rsidRDefault="00B7395C" w:rsidP="00B7395C">
            <w:pPr>
              <w:pStyle w:val="Normal1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395C" w:rsidRPr="00191BE7" w:rsidRDefault="00B7395C" w:rsidP="00C61777">
            <w:pPr>
              <w:pStyle w:val="Normal1"/>
              <w:ind w:left="-84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395C" w:rsidRPr="00191BE7" w:rsidRDefault="00B7395C" w:rsidP="00C61777">
            <w:pPr>
              <w:pStyle w:val="Normal1"/>
              <w:ind w:left="-84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012BC2" w:rsidTr="00C968E4">
        <w:trPr>
          <w:trHeight w:val="422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7C60D1" w:rsidRDefault="00CA7253" w:rsidP="00C61777">
            <w:pPr>
              <w:pStyle w:val="Normal1"/>
              <w:tabs>
                <w:tab w:val="left" w:pos="576"/>
              </w:tabs>
              <w:ind w:left="104" w:right="-20"/>
            </w:pPr>
            <w:r>
              <w:t>Part</w:t>
            </w:r>
            <w:r w:rsidR="00012BC2">
              <w:t>I-</w:t>
            </w:r>
            <w:r>
              <w:t>1</w:t>
            </w:r>
            <w:r w:rsidR="00012BC2" w:rsidRPr="007C60D1">
              <w:t>(a)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E610F6" w:rsidRDefault="00012BC2" w:rsidP="004D188F">
            <w:pPr>
              <w:jc w:val="both"/>
              <w:rPr>
                <w:b/>
              </w:rPr>
            </w:pPr>
            <w:r w:rsidRPr="00E610F6">
              <w:rPr>
                <w:b/>
              </w:rPr>
              <w:t>Explain Knowledge discovery process in data mining.</w:t>
            </w:r>
          </w:p>
          <w:p w:rsidR="005E56E9" w:rsidRDefault="005E56E9" w:rsidP="005E56E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The term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</w:rPr>
              <w:t>Knowledge Discovery in Databases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, or KDD for short, refers </w:t>
            </w:r>
            <w:r w:rsidR="00937053">
              <w:rPr>
                <w:rFonts w:ascii="Times-Roman" w:hAnsi="Times-Roman" w:cs="Times-Roman"/>
                <w:sz w:val="22"/>
                <w:szCs w:val="22"/>
              </w:rPr>
              <w:t xml:space="preserve">to the broad process of finding </w:t>
            </w:r>
            <w:r>
              <w:rPr>
                <w:rFonts w:ascii="Times-Roman" w:hAnsi="Times-Roman" w:cs="Times-Roman"/>
                <w:sz w:val="22"/>
                <w:szCs w:val="22"/>
              </w:rPr>
              <w:t>knowledge in data, and emphasizes the "high-level" application of particular data minin</w:t>
            </w:r>
            <w:r w:rsidR="00937053">
              <w:rPr>
                <w:rFonts w:ascii="Times-Roman" w:hAnsi="Times-Roman" w:cs="Times-Roman"/>
                <w:sz w:val="22"/>
                <w:szCs w:val="22"/>
              </w:rPr>
              <w:t xml:space="preserve">g methods. It is of interest to </w:t>
            </w:r>
            <w:r>
              <w:rPr>
                <w:rFonts w:ascii="Times-Roman" w:hAnsi="Times-Roman" w:cs="Times-Roman"/>
                <w:sz w:val="22"/>
                <w:szCs w:val="22"/>
              </w:rPr>
              <w:t>researchers in machine learning, pattern recognition, databases, statistics, artificial intelligence, knowledge acquisition</w:t>
            </w:r>
            <w:r w:rsidR="00937053">
              <w:rPr>
                <w:rFonts w:ascii="Times-Roman" w:hAnsi="Times-Roman" w:cs="Times-Roman"/>
                <w:sz w:val="22"/>
                <w:szCs w:val="22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</w:rPr>
              <w:t>for expert systems, and data visualization.</w:t>
            </w:r>
          </w:p>
          <w:p w:rsidR="005E56E9" w:rsidRDefault="005E56E9" w:rsidP="005E56E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The unifying goal of the KDD process is to extract knowledge from data in the context of</w:t>
            </w:r>
            <w:r w:rsidR="00937053">
              <w:rPr>
                <w:rFonts w:ascii="Times-Roman" w:hAnsi="Times-Roman" w:cs="Times-Roman"/>
                <w:sz w:val="22"/>
                <w:szCs w:val="22"/>
              </w:rPr>
              <w:t xml:space="preserve"> large databases. </w:t>
            </w:r>
            <w:r>
              <w:rPr>
                <w:rFonts w:ascii="Times-Roman" w:hAnsi="Times-Roman" w:cs="Times-Roman"/>
                <w:sz w:val="22"/>
                <w:szCs w:val="22"/>
              </w:rPr>
              <w:t>It does this by using data mining methods (algorithms) to extract (identify) what is</w:t>
            </w:r>
            <w:r w:rsidR="00937053">
              <w:rPr>
                <w:rFonts w:ascii="Times-Roman" w:hAnsi="Times-Roman" w:cs="Times-Roman"/>
                <w:sz w:val="22"/>
                <w:szCs w:val="22"/>
              </w:rPr>
              <w:t xml:space="preserve"> deemed knowledge, according to </w:t>
            </w:r>
            <w:r>
              <w:rPr>
                <w:rFonts w:ascii="Times-Roman" w:hAnsi="Times-Roman" w:cs="Times-Roman"/>
                <w:sz w:val="22"/>
                <w:szCs w:val="22"/>
              </w:rPr>
              <w:t>the specifications of measures and thresholds, using a database along with any required preprocessing, sub</w:t>
            </w:r>
            <w:r w:rsidR="00937053">
              <w:rPr>
                <w:rFonts w:ascii="Times-Roman" w:hAnsi="Times-Roman" w:cs="Times-Roman"/>
                <w:sz w:val="22"/>
                <w:szCs w:val="22"/>
              </w:rPr>
              <w:t xml:space="preserve"> </w:t>
            </w:r>
            <w:r>
              <w:rPr>
                <w:rFonts w:ascii="Times-Roman" w:hAnsi="Times-Roman" w:cs="Times-Roman"/>
                <w:sz w:val="22"/>
                <w:szCs w:val="22"/>
              </w:rPr>
              <w:t>sampling,</w:t>
            </w:r>
          </w:p>
          <w:p w:rsidR="005E56E9" w:rsidRDefault="005E56E9" w:rsidP="005E56E9">
            <w:pPr>
              <w:jc w:val="both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and transformations of that database.</w:t>
            </w:r>
          </w:p>
          <w:p w:rsidR="00937053" w:rsidRDefault="00937053" w:rsidP="005E56E9">
            <w:pPr>
              <w:jc w:val="both"/>
              <w:rPr>
                <w:noProof/>
              </w:rPr>
            </w:pPr>
          </w:p>
          <w:p w:rsidR="00937053" w:rsidRPr="00B01AD5" w:rsidRDefault="00937053" w:rsidP="005E56E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5086350" cy="277177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Default="00012BC2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[5</w:t>
            </w:r>
            <w:r w:rsidRPr="003C4E4A">
              <w:rPr>
                <w:rFonts w:eastAsia="Calibri"/>
              </w:rPr>
              <w:t>]</w:t>
            </w:r>
          </w:p>
          <w:p w:rsidR="00C968E4" w:rsidRDefault="00C968E4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</w:p>
          <w:p w:rsidR="00C968E4" w:rsidRDefault="00C968E4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</w:p>
          <w:p w:rsidR="00C968E4" w:rsidRDefault="00C968E4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</w:p>
          <w:p w:rsidR="00C968E4" w:rsidRDefault="00C968E4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</w:p>
          <w:p w:rsidR="00C968E4" w:rsidRDefault="00C968E4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</w:p>
          <w:p w:rsidR="00C968E4" w:rsidRDefault="00C968E4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</w:p>
          <w:p w:rsidR="00C968E4" w:rsidRDefault="00C968E4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</w:p>
          <w:p w:rsidR="00C968E4" w:rsidRDefault="00C968E4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</w:p>
          <w:p w:rsidR="00C968E4" w:rsidRDefault="00C968E4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</w:p>
          <w:p w:rsidR="00C968E4" w:rsidRDefault="00C968E4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</w:p>
          <w:p w:rsidR="00C968E4" w:rsidRDefault="00C968E4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</w:p>
          <w:p w:rsidR="00C968E4" w:rsidRPr="003C4E4A" w:rsidRDefault="00C968E4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  <w:p w:rsidR="005E56E9" w:rsidRPr="009C37A6" w:rsidRDefault="005E56E9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9C37A6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012BC2" w:rsidTr="00C968E4">
        <w:trPr>
          <w:trHeight w:val="422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7C60D1" w:rsidRDefault="00012BC2" w:rsidP="00C61777">
            <w:pPr>
              <w:pStyle w:val="Normal1"/>
              <w:tabs>
                <w:tab w:val="left" w:pos="576"/>
              </w:tabs>
              <w:ind w:left="104" w:right="-20"/>
            </w:pPr>
            <w:r w:rsidRPr="007C60D1">
              <w:t xml:space="preserve">   (b)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E610F6" w:rsidRDefault="00012BC2" w:rsidP="004D188F">
            <w:pPr>
              <w:tabs>
                <w:tab w:val="left" w:pos="403"/>
                <w:tab w:val="left" w:pos="3661"/>
                <w:tab w:val="left" w:pos="4921"/>
                <w:tab w:val="left" w:pos="7531"/>
                <w:tab w:val="left" w:pos="9061"/>
              </w:tabs>
              <w:spacing w:before="120" w:after="120"/>
              <w:rPr>
                <w:b/>
              </w:rPr>
            </w:pPr>
            <w:r w:rsidRPr="00E610F6">
              <w:rPr>
                <w:b/>
              </w:rPr>
              <w:t>Explain any two data preprocessing steps.</w:t>
            </w: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Ans: </w:t>
            </w:r>
            <w:r>
              <w:rPr>
                <w:rFonts w:ascii="Times-Bold" w:hAnsi="Times-Bold" w:cs="Times-Bold"/>
                <w:b/>
                <w:bCs/>
                <w:sz w:val="22"/>
                <w:szCs w:val="22"/>
              </w:rPr>
              <w:t>Aggregation</w:t>
            </w:r>
            <w:r w:rsidRPr="00DC6B28">
              <w:rPr>
                <w:rFonts w:ascii="Times-Bold" w:hAnsi="Times-Bold" w:cs="Times-Bold"/>
                <w:bCs/>
                <w:sz w:val="22"/>
                <w:szCs w:val="22"/>
              </w:rPr>
              <w:t>: Combining two or more attributes (or objects) into a single attribute (or object)</w:t>
            </w: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2"/>
                <w:szCs w:val="22"/>
              </w:rPr>
            </w:pPr>
            <w:r>
              <w:rPr>
                <w:rFonts w:ascii="Times-Bold" w:hAnsi="Times-Bold" w:cs="Times-Bold"/>
                <w:b/>
                <w:bCs/>
                <w:sz w:val="22"/>
                <w:szCs w:val="22"/>
              </w:rPr>
              <w:t>Purpose</w:t>
            </w:r>
          </w:p>
          <w:p w:rsidR="00DC6B28" w:rsidRPr="00DC6B28" w:rsidRDefault="00DC6B28" w:rsidP="00DC6B2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22"/>
                <w:szCs w:val="22"/>
              </w:rPr>
            </w:pPr>
            <w:r w:rsidRPr="00DC6B28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Pr="00DC6B28">
              <w:rPr>
                <w:rFonts w:ascii="Times-Bold" w:hAnsi="Times-Bold" w:cs="Times-Bold"/>
                <w:bCs/>
                <w:sz w:val="22"/>
                <w:szCs w:val="22"/>
              </w:rPr>
              <w:t>Data reduction</w:t>
            </w:r>
          </w:p>
          <w:p w:rsidR="00DC6B28" w:rsidRPr="00DC6B28" w:rsidRDefault="00DC6B28" w:rsidP="00DC6B2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22"/>
                <w:szCs w:val="22"/>
              </w:rPr>
            </w:pPr>
            <w:r w:rsidRPr="00DC6B28">
              <w:rPr>
                <w:rFonts w:ascii="Wingdings" w:hAnsi="Wingdings" w:cs="Wingdings"/>
                <w:sz w:val="22"/>
                <w:szCs w:val="22"/>
              </w:rPr>
              <w:t></w:t>
            </w:r>
            <w:r w:rsidRPr="00DC6B28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DC6B28">
              <w:rPr>
                <w:rFonts w:ascii="Times-Bold" w:hAnsi="Times-Bold" w:cs="Times-Bold"/>
                <w:bCs/>
                <w:sz w:val="22"/>
                <w:szCs w:val="22"/>
              </w:rPr>
              <w:t>Reduce the number of attributes or objects</w:t>
            </w:r>
          </w:p>
          <w:p w:rsidR="00DC6B28" w:rsidRPr="00DC6B28" w:rsidRDefault="00DC6B28" w:rsidP="00DC6B28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C6B28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DC6B28">
              <w:rPr>
                <w:rFonts w:ascii="Times-Bold" w:hAnsi="Times-Bold" w:cs="Times-Bold"/>
                <w:bCs/>
                <w:sz w:val="22"/>
                <w:szCs w:val="22"/>
              </w:rPr>
              <w:t>Change of scale</w:t>
            </w:r>
          </w:p>
          <w:p w:rsidR="00DC6B28" w:rsidRPr="00DC6B28" w:rsidRDefault="00DC6B28" w:rsidP="00DC6B2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22"/>
                <w:szCs w:val="22"/>
              </w:rPr>
            </w:pPr>
            <w:r w:rsidRPr="00DC6B28">
              <w:rPr>
                <w:rFonts w:ascii="Wingdings" w:hAnsi="Wingdings" w:cs="Wingdings"/>
                <w:sz w:val="22"/>
                <w:szCs w:val="22"/>
              </w:rPr>
              <w:t></w:t>
            </w:r>
            <w:r w:rsidRPr="00DC6B28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DC6B28">
              <w:rPr>
                <w:rFonts w:ascii="Times-Bold" w:hAnsi="Times-Bold" w:cs="Times-Bold"/>
                <w:bCs/>
                <w:sz w:val="22"/>
                <w:szCs w:val="22"/>
              </w:rPr>
              <w:t>Cities aggregated into regions, states, countries, etc</w:t>
            </w:r>
          </w:p>
          <w:p w:rsidR="00DC6B28" w:rsidRPr="00DC6B28" w:rsidRDefault="00DC6B28" w:rsidP="00DC6B2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2"/>
                <w:szCs w:val="22"/>
              </w:rPr>
            </w:pPr>
            <w:r w:rsidRPr="00DC6B28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DC6B28">
              <w:rPr>
                <w:rFonts w:ascii="TimesNewRoman,Bold" w:hAnsi="TimesNewRoman,Bold" w:cs="TimesNewRoman,Bold"/>
                <w:bCs/>
                <w:sz w:val="22"/>
                <w:szCs w:val="22"/>
              </w:rPr>
              <w:t>More “stable” data</w:t>
            </w:r>
          </w:p>
          <w:p w:rsidR="00DC6B28" w:rsidRPr="00DC6B28" w:rsidRDefault="00DC6B28" w:rsidP="00DC6B2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22"/>
                <w:szCs w:val="22"/>
              </w:rPr>
            </w:pPr>
            <w:r w:rsidRPr="00DC6B28">
              <w:rPr>
                <w:rFonts w:ascii="Wingdings" w:hAnsi="Wingdings" w:cs="Wingdings"/>
                <w:sz w:val="22"/>
                <w:szCs w:val="22"/>
              </w:rPr>
              <w:t></w:t>
            </w:r>
            <w:r w:rsidRPr="00DC6B28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DC6B28">
              <w:rPr>
                <w:rFonts w:ascii="Times-Bold" w:hAnsi="Times-Bold" w:cs="Times-Bold"/>
                <w:bCs/>
                <w:sz w:val="22"/>
                <w:szCs w:val="22"/>
              </w:rPr>
              <w:t>Aggregated data tends to have less variability</w:t>
            </w:r>
          </w:p>
          <w:p w:rsidR="00DC6B28" w:rsidRPr="00DC6B28" w:rsidRDefault="00DC6B28" w:rsidP="00DC6B2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22"/>
                <w:szCs w:val="22"/>
              </w:rPr>
            </w:pPr>
            <w:r>
              <w:rPr>
                <w:rFonts w:ascii="Times-Bold" w:hAnsi="Times-Bold" w:cs="Times-Bold"/>
                <w:b/>
                <w:bCs/>
                <w:sz w:val="22"/>
                <w:szCs w:val="22"/>
              </w:rPr>
              <w:t xml:space="preserve">Sampling: </w:t>
            </w:r>
            <w:r w:rsidRPr="00DC6B28">
              <w:rPr>
                <w:rFonts w:ascii="Times-Bold" w:hAnsi="Times-Bold" w:cs="Times-Bold"/>
                <w:bCs/>
                <w:sz w:val="22"/>
                <w:szCs w:val="22"/>
              </w:rPr>
              <w:t>Sampling is the main technique employed for data selection.</w:t>
            </w:r>
          </w:p>
          <w:p w:rsidR="00DC6B28" w:rsidRPr="00DC6B28" w:rsidRDefault="00DC6B28" w:rsidP="00DC6B2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22"/>
                <w:szCs w:val="22"/>
              </w:rPr>
            </w:pPr>
            <w:r w:rsidRPr="00DC6B28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DC6B28">
              <w:rPr>
                <w:rFonts w:ascii="Times-Bold" w:hAnsi="Times-Bold" w:cs="Times-Bold"/>
                <w:bCs/>
                <w:sz w:val="22"/>
                <w:szCs w:val="22"/>
              </w:rPr>
              <w:t>It is often used for both the preliminary investigation of the data and the final data analysis.</w:t>
            </w:r>
          </w:p>
          <w:p w:rsidR="00DC6B28" w:rsidRPr="00DC6B28" w:rsidRDefault="00DC6B28" w:rsidP="00DC6B2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22"/>
                <w:szCs w:val="22"/>
              </w:rPr>
            </w:pPr>
            <w:r w:rsidRPr="00DC6B28">
              <w:rPr>
                <w:rFonts w:ascii="Times-Bold" w:hAnsi="Times-Bold" w:cs="Times-Bold"/>
                <w:bCs/>
                <w:sz w:val="22"/>
                <w:szCs w:val="22"/>
              </w:rPr>
              <w:t>Statisticians sample because obtaining the entire set of data of interest is too expensive or time consuming.</w:t>
            </w: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22"/>
                <w:szCs w:val="22"/>
              </w:rPr>
            </w:pPr>
            <w:r w:rsidRPr="00DC6B28">
              <w:rPr>
                <w:rFonts w:ascii="Times-Bold" w:hAnsi="Times-Bold" w:cs="Times-Bold"/>
                <w:bCs/>
                <w:sz w:val="22"/>
                <w:szCs w:val="22"/>
              </w:rPr>
              <w:t xml:space="preserve">Sampling is used in data mining because processing the entire set of data </w:t>
            </w:r>
            <w:r>
              <w:rPr>
                <w:rFonts w:ascii="Times-Bold" w:hAnsi="Times-Bold" w:cs="Times-Bold"/>
                <w:bCs/>
                <w:sz w:val="22"/>
                <w:szCs w:val="22"/>
              </w:rPr>
              <w:t xml:space="preserve">of interest is too expensive or </w:t>
            </w:r>
            <w:r w:rsidRPr="00DC6B28">
              <w:rPr>
                <w:rFonts w:ascii="Times-Bold" w:hAnsi="Times-Bold" w:cs="Times-Bold"/>
                <w:bCs/>
                <w:sz w:val="22"/>
                <w:szCs w:val="22"/>
              </w:rPr>
              <w:t>time consuming.</w:t>
            </w:r>
          </w:p>
          <w:p w:rsidR="00DC6B28" w:rsidRPr="00DC6B28" w:rsidRDefault="00DC6B28" w:rsidP="00DC6B2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sz w:val="22"/>
                <w:szCs w:val="22"/>
              </w:rPr>
            </w:pP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2"/>
                <w:szCs w:val="22"/>
              </w:rPr>
            </w:pPr>
            <w:r>
              <w:rPr>
                <w:rFonts w:ascii="Times-Bold" w:hAnsi="Times-Bold" w:cs="Times-Bold"/>
                <w:b/>
                <w:bCs/>
                <w:sz w:val="22"/>
                <w:szCs w:val="22"/>
              </w:rPr>
              <w:lastRenderedPageBreak/>
              <w:t>Types of Sampling</w:t>
            </w: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Simple Random Sampling</w:t>
            </w: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Times-Roman" w:hAnsi="Times-Roman" w:cs="Times-Roman"/>
                <w:sz w:val="22"/>
                <w:szCs w:val="22"/>
              </w:rPr>
              <w:t>There is an equal probability of selecting any particular item</w:t>
            </w: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Times-Roman" w:hAnsi="Times-Roman" w:cs="Times-Roman"/>
                <w:sz w:val="22"/>
                <w:szCs w:val="22"/>
              </w:rPr>
              <w:t>Two types</w:t>
            </w: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Sampling without replacement</w:t>
            </w: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Times-Roman" w:hAnsi="Times-Roman" w:cs="Times-Roman"/>
                <w:sz w:val="22"/>
                <w:szCs w:val="22"/>
              </w:rPr>
              <w:t>As each item is selected, it is removed from the population</w:t>
            </w: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Sampling with replacement</w:t>
            </w: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Times-Roman" w:hAnsi="Times-Roman" w:cs="Times-Roman"/>
                <w:sz w:val="22"/>
                <w:szCs w:val="22"/>
              </w:rPr>
              <w:t>Objects are not removed from the population as they are selected for the sample.</w:t>
            </w: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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-Roman" w:hAnsi="Times-Roman" w:cs="Times-Roman"/>
                <w:sz w:val="22"/>
                <w:szCs w:val="22"/>
              </w:rPr>
              <w:t>In sampling with replacement, the same object can be picked up more than once</w:t>
            </w: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Stratified sampling</w:t>
            </w:r>
          </w:p>
          <w:p w:rsidR="00DC6B28" w:rsidRDefault="00DC6B28" w:rsidP="00DC6B2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Times-Roman" w:hAnsi="Times-Roman" w:cs="Times-Roman"/>
                <w:sz w:val="22"/>
                <w:szCs w:val="22"/>
              </w:rPr>
              <w:t>Split the data into several partitions; then draw random samples from each partition</w:t>
            </w:r>
          </w:p>
          <w:p w:rsidR="00DC6B28" w:rsidRPr="00DC6B28" w:rsidRDefault="00DC6B28" w:rsidP="00DC6B2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Default="00012BC2" w:rsidP="004D188F">
            <w:pPr>
              <w:spacing w:before="2"/>
              <w:ind w:left="119"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[5]</w:t>
            </w:r>
          </w:p>
          <w:p w:rsidR="00DC6B28" w:rsidRDefault="00DC6B28" w:rsidP="004D188F">
            <w:pPr>
              <w:spacing w:before="2"/>
              <w:ind w:left="119" w:right="-20"/>
              <w:jc w:val="center"/>
              <w:rPr>
                <w:rFonts w:eastAsia="Calibri"/>
              </w:rPr>
            </w:pPr>
          </w:p>
          <w:p w:rsidR="00937053" w:rsidRDefault="00937053" w:rsidP="004D188F">
            <w:pPr>
              <w:spacing w:before="2"/>
              <w:ind w:left="119" w:right="-20"/>
              <w:jc w:val="center"/>
              <w:rPr>
                <w:rFonts w:eastAsia="Calibri"/>
              </w:rPr>
            </w:pPr>
          </w:p>
          <w:p w:rsidR="00937053" w:rsidRPr="003C4E4A" w:rsidRDefault="00937053" w:rsidP="004D188F">
            <w:pPr>
              <w:spacing w:before="2"/>
              <w:ind w:left="119" w:right="-20"/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9C37A6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9C37A6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012BC2" w:rsidTr="00C968E4">
        <w:trPr>
          <w:trHeight w:val="422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7C60D1" w:rsidRDefault="00012BC2" w:rsidP="00C61777">
            <w:pPr>
              <w:pStyle w:val="Normal1"/>
              <w:tabs>
                <w:tab w:val="left" w:pos="576"/>
              </w:tabs>
              <w:ind w:left="104" w:right="-20"/>
            </w:pPr>
            <w:r w:rsidRPr="007C60D1">
              <w:lastRenderedPageBreak/>
              <w:t>2 (a)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E610F6" w:rsidRDefault="00012BC2" w:rsidP="004D188F">
            <w:pPr>
              <w:jc w:val="both"/>
              <w:rPr>
                <w:b/>
              </w:rPr>
            </w:pPr>
            <w:r w:rsidRPr="00E610F6">
              <w:rPr>
                <w:b/>
              </w:rPr>
              <w:t>Explain different type of attributes and data sets.</w:t>
            </w:r>
          </w:p>
          <w:p w:rsidR="00D26F61" w:rsidRDefault="00D26F61" w:rsidP="00D26F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There are different types of attributes</w:t>
            </w:r>
          </w:p>
          <w:p w:rsidR="00D26F61" w:rsidRDefault="00D26F61" w:rsidP="00D26F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Times-Roman" w:hAnsi="Times-Roman" w:cs="Times-Roman"/>
                <w:sz w:val="22"/>
                <w:szCs w:val="22"/>
              </w:rPr>
              <w:t>Nominal</w:t>
            </w:r>
          </w:p>
          <w:p w:rsidR="00D26F61" w:rsidRDefault="00D26F61" w:rsidP="00D26F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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-Roman" w:hAnsi="Times-Roman" w:cs="Times-Roman"/>
                <w:sz w:val="22"/>
                <w:szCs w:val="22"/>
              </w:rPr>
              <w:t>Examples: ID numbers, eye color, zip codes</w:t>
            </w:r>
          </w:p>
          <w:p w:rsidR="00D26F61" w:rsidRDefault="00D26F61" w:rsidP="00D26F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Times-Roman" w:hAnsi="Times-Roman" w:cs="Times-Roman"/>
                <w:sz w:val="22"/>
                <w:szCs w:val="22"/>
              </w:rPr>
              <w:t>Ordinal</w:t>
            </w:r>
          </w:p>
          <w:p w:rsidR="00D26F61" w:rsidRDefault="00D26F61" w:rsidP="00D26F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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-Roman" w:hAnsi="Times-Roman" w:cs="Times-Roman"/>
                <w:sz w:val="22"/>
                <w:szCs w:val="22"/>
              </w:rPr>
              <w:t>Examples: rankings (e.g., taste of potato chips on a scale from 1-10), grades, height in {tall,</w:t>
            </w:r>
          </w:p>
          <w:p w:rsidR="00D26F61" w:rsidRDefault="00D26F61" w:rsidP="00D26F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medium, short}</w:t>
            </w:r>
          </w:p>
          <w:p w:rsidR="00D26F61" w:rsidRDefault="00D26F61" w:rsidP="00D26F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Times-Roman" w:hAnsi="Times-Roman" w:cs="Times-Roman"/>
                <w:sz w:val="22"/>
                <w:szCs w:val="22"/>
              </w:rPr>
              <w:t>Interval</w:t>
            </w:r>
          </w:p>
          <w:p w:rsidR="00D26F61" w:rsidRDefault="00D26F61" w:rsidP="00D26F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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-Roman" w:hAnsi="Times-Roman" w:cs="Times-Roman"/>
                <w:sz w:val="22"/>
                <w:szCs w:val="22"/>
              </w:rPr>
              <w:t>Examples: calendar dates, temperatures in Celsius or Fahrenheit.</w:t>
            </w:r>
          </w:p>
          <w:p w:rsidR="00D26F61" w:rsidRDefault="00D26F61" w:rsidP="00D26F6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Times-Roman" w:hAnsi="Times-Roman" w:cs="Times-Roman"/>
                <w:sz w:val="22"/>
                <w:szCs w:val="22"/>
              </w:rPr>
              <w:t>Ratio</w:t>
            </w:r>
          </w:p>
          <w:p w:rsidR="00D26F61" w:rsidRPr="00D26F61" w:rsidRDefault="00D26F61" w:rsidP="00D26F61">
            <w:pPr>
              <w:jc w:val="both"/>
              <w:rPr>
                <w:rFonts w:ascii="Times-Roman" w:hAnsi="Times-Roman" w:cs="Times-Roman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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Times-Roman" w:hAnsi="Times-Roman" w:cs="Times-Roman"/>
                <w:sz w:val="22"/>
                <w:szCs w:val="22"/>
              </w:rPr>
              <w:t>Examples: temperature in Kelvin, length, time, counts</w:t>
            </w:r>
          </w:p>
          <w:p w:rsidR="00D26F61" w:rsidRPr="00B01AD5" w:rsidRDefault="00D26F61" w:rsidP="00D26F61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5086350" cy="350520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350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3C4E4A" w:rsidRDefault="00012BC2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[10]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9C37A6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9C37A6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012BC2" w:rsidTr="00C968E4">
        <w:trPr>
          <w:trHeight w:val="422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26F61" w:rsidRDefault="00D26F61" w:rsidP="00C61777">
            <w:pPr>
              <w:pStyle w:val="Normal1"/>
              <w:ind w:left="104" w:right="-20"/>
            </w:pPr>
          </w:p>
          <w:p w:rsidR="00012BC2" w:rsidRPr="007C60D1" w:rsidRDefault="00CA7253" w:rsidP="00C61777">
            <w:pPr>
              <w:pStyle w:val="Normal1"/>
              <w:ind w:left="104" w:right="-20"/>
            </w:pPr>
            <w:r>
              <w:t>PartII3</w:t>
            </w:r>
            <w:r w:rsidR="00012BC2" w:rsidRPr="007C60D1">
              <w:t xml:space="preserve">(a) 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26F61" w:rsidRDefault="00D26F61" w:rsidP="004D188F">
            <w:pPr>
              <w:jc w:val="both"/>
            </w:pPr>
          </w:p>
          <w:p w:rsidR="00012BC2" w:rsidRDefault="00012BC2" w:rsidP="004D188F">
            <w:pPr>
              <w:jc w:val="both"/>
            </w:pPr>
            <w:r>
              <w:t>Explain the type of operation that can be performed on data cube.</w:t>
            </w:r>
          </w:p>
          <w:p w:rsidR="00E610F6" w:rsidRPr="00B01AD5" w:rsidRDefault="00E610F6" w:rsidP="004D188F">
            <w:pPr>
              <w:jc w:val="both"/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26F61" w:rsidRDefault="00D26F61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</w:p>
          <w:p w:rsidR="00012BC2" w:rsidRPr="003C4E4A" w:rsidRDefault="00012BC2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[10]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9C37A6" w:rsidRDefault="00012BC2" w:rsidP="007A039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9C37A6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012BC2" w:rsidTr="00C968E4">
        <w:trPr>
          <w:trHeight w:val="422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7C60D1" w:rsidRDefault="00012BC2" w:rsidP="00C61777">
            <w:pPr>
              <w:pStyle w:val="Normal1"/>
              <w:ind w:left="104" w:right="-20"/>
            </w:pPr>
            <w:r w:rsidRPr="007C60D1">
              <w:t>4 (a)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B01AD5" w:rsidRDefault="00012BC2" w:rsidP="004D188F">
            <w:pPr>
              <w:jc w:val="both"/>
            </w:pPr>
            <w:r>
              <w:t xml:space="preserve">Explain the difference between ROLAP and MOLAP.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3C4E4A" w:rsidRDefault="00012BC2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[5]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9C37A6" w:rsidRDefault="00012BC2" w:rsidP="007A039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9C37A6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012BC2" w:rsidTr="00C968E4">
        <w:trPr>
          <w:trHeight w:val="422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7C60D1" w:rsidRDefault="00012BC2" w:rsidP="00C61777">
            <w:pPr>
              <w:pStyle w:val="Normal1"/>
              <w:ind w:left="104" w:right="-20"/>
            </w:pPr>
            <w:r w:rsidRPr="007C60D1">
              <w:t xml:space="preserve">   (b) 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B01AD5" w:rsidRDefault="00F56E5A" w:rsidP="00F56E5A">
            <w:pPr>
              <w:jc w:val="both"/>
            </w:pPr>
            <w:r>
              <w:t xml:space="preserve">Write the various schemas for </w:t>
            </w:r>
            <w:r w:rsidR="000C64F6">
              <w:t>multidimensional databases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3C4E4A" w:rsidRDefault="00012BC2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[5]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9C37A6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2BC2" w:rsidRPr="009C37A6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216B92" w:rsidTr="00C968E4">
        <w:trPr>
          <w:trHeight w:val="422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7253" w:rsidRDefault="00CA7253" w:rsidP="00CA7253">
            <w:pPr>
              <w:pStyle w:val="Normal1"/>
              <w:ind w:left="104" w:right="-20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>PartIII</w:t>
            </w:r>
            <w:r w:rsidR="00216B92">
              <w:rPr>
                <w:rFonts w:eastAsia="Calibri"/>
                <w:position w:val="1"/>
              </w:rPr>
              <w:t>5</w:t>
            </w:r>
          </w:p>
          <w:p w:rsidR="00216B92" w:rsidRPr="00CA7253" w:rsidRDefault="00216B92" w:rsidP="00CA7253">
            <w:pPr>
              <w:pStyle w:val="Normal1"/>
              <w:ind w:left="104" w:right="-20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>(a)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6B92" w:rsidRPr="00B01AD5" w:rsidRDefault="00216B92" w:rsidP="00216B92">
            <w:r>
              <w:t>List the major steps involved in the ETL process.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6B92" w:rsidRDefault="00216B92" w:rsidP="00216B92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[5]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6B92" w:rsidRPr="009C37A6" w:rsidRDefault="00216B92" w:rsidP="00216B92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6B92" w:rsidRPr="009C37A6" w:rsidRDefault="00216B92" w:rsidP="00216B92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216B92" w:rsidTr="00C968E4">
        <w:trPr>
          <w:trHeight w:val="422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6B92" w:rsidRDefault="00216B92" w:rsidP="00216B92">
            <w:pPr>
              <w:pStyle w:val="Normal1"/>
              <w:ind w:left="104" w:right="-20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 xml:space="preserve">  (b)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6B92" w:rsidRDefault="00216B92" w:rsidP="00216B92">
            <w:r>
              <w:t>Explain FASMI characteristics of OLAP.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6B92" w:rsidRDefault="00216B92" w:rsidP="00216B92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[5]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6B92" w:rsidRPr="009C37A6" w:rsidRDefault="00216B92" w:rsidP="00216B92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16B92" w:rsidRPr="009C37A6" w:rsidRDefault="00216B92" w:rsidP="00216B92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CA7253" w:rsidTr="00C968E4">
        <w:trPr>
          <w:trHeight w:val="422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7253" w:rsidRDefault="00CA7253" w:rsidP="00CA7253">
            <w:pPr>
              <w:pStyle w:val="Normal1"/>
              <w:ind w:left="104" w:right="-20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>6(a)</w:t>
            </w:r>
          </w:p>
        </w:tc>
        <w:tc>
          <w:tcPr>
            <w:tcW w:w="8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7253" w:rsidRPr="00B01AD5" w:rsidRDefault="00CA7253" w:rsidP="00CA7253">
            <w:r>
              <w:t>What is a data ware house? How we can implement a data ware house.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7253" w:rsidRPr="003C4E4A" w:rsidRDefault="00CA7253" w:rsidP="00CA7253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[4+6]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7253" w:rsidRPr="009C37A6" w:rsidRDefault="00CA7253" w:rsidP="00CA7253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7253" w:rsidRPr="009C37A6" w:rsidRDefault="00CA7253" w:rsidP="00CA7253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</w:tbl>
    <w:p w:rsidR="00487081" w:rsidRDefault="00487081" w:rsidP="00063F39">
      <w:pPr>
        <w:pStyle w:val="Normal1"/>
      </w:pPr>
    </w:p>
    <w:p w:rsidR="00F85FF8" w:rsidRDefault="00F85FF8" w:rsidP="00063F39">
      <w:pPr>
        <w:pStyle w:val="Normal1"/>
      </w:pPr>
    </w:p>
    <w:p w:rsidR="004D448A" w:rsidRDefault="004D448A" w:rsidP="00063F39">
      <w:pPr>
        <w:pStyle w:val="Normal1"/>
      </w:pPr>
    </w:p>
    <w:p w:rsidR="00F85FF8" w:rsidRDefault="00F85FF8" w:rsidP="00063F39">
      <w:pPr>
        <w:pStyle w:val="Normal1"/>
      </w:pPr>
    </w:p>
    <w:p w:rsidR="00F85FF8" w:rsidRDefault="00F85FF8" w:rsidP="00063F39">
      <w:pPr>
        <w:pStyle w:val="Normal1"/>
      </w:pPr>
    </w:p>
    <w:p w:rsidR="00CA7253" w:rsidRDefault="00CA7253" w:rsidP="00063F39">
      <w:pPr>
        <w:pStyle w:val="Normal1"/>
      </w:pPr>
    </w:p>
    <w:p w:rsidR="00CA7253" w:rsidRDefault="00CA7253" w:rsidP="00063F39">
      <w:pPr>
        <w:pStyle w:val="Normal1"/>
      </w:pPr>
    </w:p>
    <w:p w:rsidR="00452463" w:rsidRDefault="00452463" w:rsidP="00063F39">
      <w:pPr>
        <w:pStyle w:val="Normal1"/>
      </w:pPr>
    </w:p>
    <w:p w:rsidR="004F2A74" w:rsidRDefault="004F2A74" w:rsidP="00063F39">
      <w:pPr>
        <w:pStyle w:val="Normal1"/>
      </w:pPr>
    </w:p>
    <w:tbl>
      <w:tblPr>
        <w:tblW w:w="1082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0"/>
        <w:gridCol w:w="7607"/>
        <w:gridCol w:w="731"/>
        <w:gridCol w:w="620"/>
        <w:gridCol w:w="694"/>
      </w:tblGrid>
      <w:tr w:rsidR="00012BC2" w:rsidRPr="009C37A6" w:rsidTr="00C968E4">
        <w:trPr>
          <w:trHeight w:val="44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C2" w:rsidRPr="003C4E4A" w:rsidRDefault="00012BC2" w:rsidP="009A35A1">
            <w:pPr>
              <w:spacing w:line="254" w:lineRule="exact"/>
              <w:ind w:right="-20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>Part IV-</w:t>
            </w:r>
            <w:r w:rsidRPr="003C4E4A">
              <w:rPr>
                <w:rFonts w:eastAsia="Calibri"/>
                <w:position w:val="1"/>
              </w:rPr>
              <w:t>7(a)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C2" w:rsidRPr="00B01AD5" w:rsidRDefault="000C64F6" w:rsidP="004D188F">
            <w:pPr>
              <w:jc w:val="both"/>
            </w:pPr>
            <w:r>
              <w:t xml:space="preserve"> Explain the three tier architecture of Dataware house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C2" w:rsidRPr="003C4E4A" w:rsidRDefault="00216B92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[10</w:t>
            </w:r>
            <w:r w:rsidR="00012BC2">
              <w:rPr>
                <w:rFonts w:eastAsia="Calibri"/>
              </w:rPr>
              <w:t>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C2" w:rsidRPr="009C37A6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C2" w:rsidRPr="009C37A6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012BC2" w:rsidRPr="009C37A6" w:rsidTr="00C968E4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C2" w:rsidRPr="003C4E4A" w:rsidRDefault="00012BC2" w:rsidP="009A35A1">
            <w:pPr>
              <w:spacing w:line="254" w:lineRule="exact"/>
              <w:ind w:right="-20"/>
              <w:rPr>
                <w:rFonts w:eastAsia="Calibri"/>
                <w:position w:val="1"/>
              </w:rPr>
            </w:pPr>
            <w:r w:rsidRPr="003C4E4A">
              <w:rPr>
                <w:rFonts w:eastAsia="Calibri"/>
                <w:position w:val="1"/>
              </w:rPr>
              <w:t>8</w:t>
            </w:r>
            <w:r w:rsidR="00216B92">
              <w:rPr>
                <w:rFonts w:eastAsia="Calibri"/>
                <w:position w:val="1"/>
              </w:rPr>
              <w:t>(a)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C2" w:rsidRPr="00F03B10" w:rsidRDefault="00012BC2" w:rsidP="004D188F">
            <w:r w:rsidRPr="00F03B10">
              <w:t>Write the difference between OLAP and OLTP.</w:t>
            </w:r>
          </w:p>
          <w:p w:rsidR="00012BC2" w:rsidRPr="00B01AD5" w:rsidRDefault="00012BC2" w:rsidP="004D188F">
            <w:pPr>
              <w:jc w:val="both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C2" w:rsidRPr="003C4E4A" w:rsidRDefault="00012BC2" w:rsidP="004D188F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[10]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C2" w:rsidRPr="009C37A6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C2" w:rsidRPr="009C37A6" w:rsidRDefault="00012BC2" w:rsidP="004D188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452463" w:rsidRPr="009C37A6" w:rsidTr="00C968E4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3C4E4A" w:rsidRDefault="00452463" w:rsidP="009A35A1">
            <w:pPr>
              <w:spacing w:line="254" w:lineRule="exact"/>
              <w:ind w:right="-20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>Part V-9</w:t>
            </w:r>
            <w:r w:rsidR="00D11578">
              <w:rPr>
                <w:rFonts w:eastAsia="Calibri"/>
                <w:position w:val="1"/>
              </w:rPr>
              <w:t>(a)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C00B1C" w:rsidRDefault="00012BC2" w:rsidP="00CC29DF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>What is data mining. Explain the challenges that motivated the development of data mining.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3C4E4A" w:rsidRDefault="00452463" w:rsidP="00012BC2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</w:t>
            </w:r>
            <w:r w:rsidR="00012BC2">
              <w:rPr>
                <w:rFonts w:eastAsia="Calibri"/>
              </w:rPr>
              <w:t>6</w:t>
            </w:r>
            <w:r>
              <w:rPr>
                <w:rFonts w:eastAsia="Calibri"/>
              </w:rPr>
              <w:t>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9C37A6" w:rsidRDefault="00452463" w:rsidP="007A039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9C37A6" w:rsidRDefault="00452463" w:rsidP="009A35A1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452463" w:rsidRPr="009C37A6" w:rsidTr="00C968E4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3C4E4A" w:rsidRDefault="00D11578" w:rsidP="009A35A1">
            <w:pPr>
              <w:spacing w:line="254" w:lineRule="exact"/>
              <w:ind w:right="-20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 xml:space="preserve"> (b)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C00B1C" w:rsidRDefault="000C64F6" w:rsidP="009A35A1">
            <w:pPr>
              <w:rPr>
                <w:color w:val="auto"/>
              </w:rPr>
            </w:pPr>
            <w:r>
              <w:t>Explain Similarity and Dissimilarity.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3C4E4A" w:rsidRDefault="006F6D0F" w:rsidP="009A35A1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[4]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9C37A6" w:rsidRDefault="00452463" w:rsidP="009A35A1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9C37A6" w:rsidRDefault="00452463" w:rsidP="009A35A1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4D448A" w:rsidRPr="009C37A6" w:rsidTr="00C968E4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48A" w:rsidRDefault="004D448A" w:rsidP="009A35A1">
            <w:pPr>
              <w:spacing w:line="254" w:lineRule="exact"/>
              <w:ind w:right="-20"/>
              <w:rPr>
                <w:rFonts w:eastAsia="Calibri"/>
                <w:position w:val="1"/>
              </w:rPr>
            </w:pP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48A" w:rsidRDefault="004D448A" w:rsidP="009A35A1">
            <w:pPr>
              <w:rPr>
                <w:color w:val="aut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48A" w:rsidRDefault="004D448A" w:rsidP="009A35A1">
            <w:pPr>
              <w:spacing w:before="2"/>
              <w:ind w:right="-20"/>
              <w:jc w:val="center"/>
              <w:rPr>
                <w:rFonts w:eastAsia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48A" w:rsidRDefault="004D448A" w:rsidP="007A039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48A" w:rsidRDefault="004D448A" w:rsidP="009A35A1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452463" w:rsidRPr="009C37A6" w:rsidTr="00C968E4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3C4E4A" w:rsidRDefault="00452463" w:rsidP="009A35A1">
            <w:pPr>
              <w:spacing w:line="254" w:lineRule="exact"/>
              <w:ind w:right="-20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>10</w:t>
            </w:r>
            <w:r w:rsidR="00CA7253">
              <w:rPr>
                <w:rFonts w:eastAsia="Calibri"/>
                <w:position w:val="1"/>
              </w:rPr>
              <w:t>(a)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C00B1C" w:rsidRDefault="00012BC2" w:rsidP="009A35A1">
            <w:pPr>
              <w:rPr>
                <w:color w:val="auto"/>
              </w:rPr>
            </w:pPr>
            <w:r>
              <w:rPr>
                <w:color w:val="auto"/>
              </w:rPr>
              <w:t>Discuss the data mining task in detail.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3C4E4A" w:rsidRDefault="00452463" w:rsidP="009A35A1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[10]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9C37A6" w:rsidRDefault="00452463" w:rsidP="007A039F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463" w:rsidRPr="009C37A6" w:rsidRDefault="00452463" w:rsidP="009A35A1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</w:tbl>
    <w:p w:rsidR="00452463" w:rsidRDefault="00452463" w:rsidP="00452463">
      <w:pPr>
        <w:tabs>
          <w:tab w:val="left" w:pos="6585"/>
        </w:tabs>
        <w:jc w:val="both"/>
        <w:rPr>
          <w:sz w:val="20"/>
          <w:szCs w:val="20"/>
        </w:rPr>
      </w:pPr>
    </w:p>
    <w:p w:rsidR="00452463" w:rsidRDefault="00452463" w:rsidP="00452463">
      <w:pPr>
        <w:tabs>
          <w:tab w:val="left" w:pos="6585"/>
        </w:tabs>
        <w:jc w:val="both"/>
        <w:rPr>
          <w:sz w:val="20"/>
          <w:szCs w:val="20"/>
        </w:rPr>
      </w:pPr>
    </w:p>
    <w:p w:rsidR="00452463" w:rsidRDefault="00452463" w:rsidP="00452463">
      <w:pPr>
        <w:tabs>
          <w:tab w:val="left" w:pos="6585"/>
        </w:tabs>
        <w:jc w:val="both"/>
        <w:rPr>
          <w:sz w:val="20"/>
          <w:szCs w:val="20"/>
        </w:rPr>
      </w:pPr>
    </w:p>
    <w:p w:rsidR="00452463" w:rsidRDefault="00452463" w:rsidP="00452463">
      <w:pPr>
        <w:tabs>
          <w:tab w:val="left" w:pos="6585"/>
        </w:tabs>
        <w:jc w:val="both"/>
        <w:rPr>
          <w:sz w:val="20"/>
          <w:szCs w:val="20"/>
        </w:rPr>
      </w:pPr>
    </w:p>
    <w:p w:rsidR="00452463" w:rsidRDefault="00452463" w:rsidP="00452463">
      <w:pPr>
        <w:tabs>
          <w:tab w:val="left" w:pos="6585"/>
        </w:tabs>
        <w:jc w:val="both"/>
        <w:rPr>
          <w:sz w:val="20"/>
          <w:szCs w:val="20"/>
        </w:rPr>
      </w:pPr>
    </w:p>
    <w:p w:rsidR="00452463" w:rsidRDefault="00452463" w:rsidP="00452463">
      <w:pPr>
        <w:tabs>
          <w:tab w:val="left" w:pos="6585"/>
        </w:tabs>
        <w:jc w:val="both"/>
        <w:rPr>
          <w:sz w:val="20"/>
          <w:szCs w:val="20"/>
        </w:rPr>
      </w:pPr>
    </w:p>
    <w:p w:rsidR="00452463" w:rsidRDefault="00452463" w:rsidP="00452463">
      <w:pPr>
        <w:tabs>
          <w:tab w:val="left" w:pos="6585"/>
        </w:tabs>
        <w:jc w:val="both"/>
        <w:rPr>
          <w:sz w:val="20"/>
          <w:szCs w:val="20"/>
        </w:rPr>
      </w:pPr>
    </w:p>
    <w:p w:rsidR="00452463" w:rsidRDefault="00452463" w:rsidP="00452463">
      <w:pPr>
        <w:tabs>
          <w:tab w:val="left" w:pos="6585"/>
        </w:tabs>
        <w:jc w:val="both"/>
        <w:rPr>
          <w:sz w:val="20"/>
          <w:szCs w:val="20"/>
        </w:rPr>
      </w:pPr>
    </w:p>
    <w:p w:rsidR="00452463" w:rsidRDefault="00452463" w:rsidP="00452463">
      <w:pPr>
        <w:tabs>
          <w:tab w:val="left" w:pos="6585"/>
        </w:tabs>
        <w:jc w:val="both"/>
        <w:rPr>
          <w:sz w:val="20"/>
          <w:szCs w:val="20"/>
        </w:rPr>
      </w:pPr>
    </w:p>
    <w:p w:rsidR="00452463" w:rsidRDefault="00452463" w:rsidP="00452463">
      <w:pPr>
        <w:tabs>
          <w:tab w:val="left" w:pos="6585"/>
        </w:tabs>
        <w:jc w:val="both"/>
        <w:rPr>
          <w:sz w:val="20"/>
          <w:szCs w:val="20"/>
        </w:rPr>
      </w:pPr>
    </w:p>
    <w:p w:rsidR="00452463" w:rsidRDefault="0045246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  <w:bookmarkStart w:id="0" w:name="_GoBack"/>
      <w:bookmarkEnd w:id="0"/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p w:rsidR="00CA7253" w:rsidRDefault="00CA7253" w:rsidP="00367D6F">
      <w:pPr>
        <w:pStyle w:val="Normal1"/>
      </w:pPr>
    </w:p>
    <w:tbl>
      <w:tblPr>
        <w:tblW w:w="1082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0"/>
        <w:gridCol w:w="7607"/>
        <w:gridCol w:w="731"/>
        <w:gridCol w:w="620"/>
        <w:gridCol w:w="694"/>
      </w:tblGrid>
      <w:tr w:rsidR="00CA7253" w:rsidRPr="009C37A6" w:rsidTr="00474D69">
        <w:trPr>
          <w:trHeight w:val="44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253" w:rsidRPr="003C4E4A" w:rsidRDefault="00CA7253" w:rsidP="00474D69">
            <w:pPr>
              <w:spacing w:line="254" w:lineRule="exact"/>
              <w:ind w:right="-20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>Part IV-</w:t>
            </w:r>
            <w:r w:rsidRPr="003C4E4A">
              <w:rPr>
                <w:rFonts w:eastAsia="Calibri"/>
                <w:position w:val="1"/>
              </w:rPr>
              <w:t>7(a)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253" w:rsidRPr="00B01AD5" w:rsidRDefault="00CA7253" w:rsidP="00474D69">
            <w:pPr>
              <w:jc w:val="both"/>
            </w:pPr>
            <w:r>
              <w:t xml:space="preserve"> Explain the three tier architecture of Dataware house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253" w:rsidRPr="003C4E4A" w:rsidRDefault="00CA7253" w:rsidP="00474D69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[10]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auto"/>
          </w:tcPr>
          <w:p w:rsidR="00CA7253" w:rsidRPr="009C37A6" w:rsidRDefault="00CA7253" w:rsidP="00474D6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  <w:r>
              <w:rPr>
                <w:rFonts w:eastAsia="Calibri"/>
                <w:color w:val="808080" w:themeColor="background1" w:themeShade="80"/>
              </w:rPr>
              <w:t>CO3</w:t>
            </w:r>
          </w:p>
        </w:tc>
        <w:tc>
          <w:tcPr>
            <w:tcW w:w="694" w:type="dxa"/>
            <w:shd w:val="clear" w:color="auto" w:fill="auto"/>
          </w:tcPr>
          <w:p w:rsidR="00CA7253" w:rsidRPr="009C37A6" w:rsidRDefault="00CA7253" w:rsidP="00474D6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  <w:r>
              <w:rPr>
                <w:rFonts w:eastAsia="Calibri"/>
                <w:color w:val="808080" w:themeColor="background1" w:themeShade="80"/>
              </w:rPr>
              <w:t>L2</w:t>
            </w:r>
          </w:p>
        </w:tc>
      </w:tr>
      <w:tr w:rsidR="00CA7253" w:rsidRPr="009C37A6" w:rsidTr="00474D69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253" w:rsidRPr="003C4E4A" w:rsidRDefault="00CA7253" w:rsidP="00474D69">
            <w:pPr>
              <w:spacing w:line="254" w:lineRule="exact"/>
              <w:ind w:right="-20"/>
              <w:rPr>
                <w:rFonts w:eastAsia="Calibri"/>
                <w:position w:val="1"/>
              </w:rPr>
            </w:pPr>
            <w:r w:rsidRPr="003C4E4A">
              <w:rPr>
                <w:rFonts w:eastAsia="Calibri"/>
                <w:position w:val="1"/>
              </w:rPr>
              <w:t>8</w:t>
            </w:r>
            <w:r>
              <w:rPr>
                <w:rFonts w:eastAsia="Calibri"/>
                <w:position w:val="1"/>
              </w:rPr>
              <w:t>(a)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253" w:rsidRPr="00F03B10" w:rsidRDefault="00CA7253" w:rsidP="00474D69">
            <w:r w:rsidRPr="00F03B10">
              <w:t>Write the difference between OLAP and OLTP.</w:t>
            </w:r>
          </w:p>
          <w:p w:rsidR="00CA7253" w:rsidRPr="00B01AD5" w:rsidRDefault="00CA7253" w:rsidP="00474D69">
            <w:pPr>
              <w:jc w:val="both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253" w:rsidRPr="003C4E4A" w:rsidRDefault="00CA7253" w:rsidP="00474D69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[10]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auto"/>
          </w:tcPr>
          <w:p w:rsidR="00CA7253" w:rsidRPr="009C37A6" w:rsidRDefault="00CA7253" w:rsidP="00474D6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  <w:r>
              <w:rPr>
                <w:rFonts w:eastAsia="Calibri"/>
                <w:color w:val="808080" w:themeColor="background1" w:themeShade="80"/>
              </w:rPr>
              <w:t>CO1</w:t>
            </w:r>
          </w:p>
        </w:tc>
        <w:tc>
          <w:tcPr>
            <w:tcW w:w="694" w:type="dxa"/>
            <w:shd w:val="clear" w:color="auto" w:fill="auto"/>
          </w:tcPr>
          <w:p w:rsidR="00CA7253" w:rsidRPr="009C37A6" w:rsidRDefault="00CA7253" w:rsidP="00474D6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  <w:r w:rsidRPr="009C37A6">
              <w:rPr>
                <w:rFonts w:eastAsia="Calibri"/>
                <w:color w:val="808080" w:themeColor="background1" w:themeShade="80"/>
              </w:rPr>
              <w:t>L</w:t>
            </w:r>
            <w:r>
              <w:rPr>
                <w:rFonts w:eastAsia="Calibri"/>
                <w:color w:val="808080" w:themeColor="background1" w:themeShade="80"/>
              </w:rPr>
              <w:t>2</w:t>
            </w:r>
          </w:p>
        </w:tc>
      </w:tr>
      <w:tr w:rsidR="00CA7253" w:rsidRPr="009C37A6" w:rsidTr="00474D69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253" w:rsidRPr="003C4E4A" w:rsidRDefault="00CA7253" w:rsidP="00474D69">
            <w:pPr>
              <w:spacing w:line="254" w:lineRule="exact"/>
              <w:ind w:right="-20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lastRenderedPageBreak/>
              <w:t>Part V-9(a)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253" w:rsidRPr="00C00B1C" w:rsidRDefault="00CA7253" w:rsidP="00474D69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>What is data mining. Explain the challenges that motivated the development of data mining.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253" w:rsidRPr="003C4E4A" w:rsidRDefault="00CA7253" w:rsidP="00474D69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[6]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auto"/>
          </w:tcPr>
          <w:p w:rsidR="00CA7253" w:rsidRPr="009C37A6" w:rsidRDefault="00CA7253" w:rsidP="00474D6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  <w:r>
              <w:rPr>
                <w:rFonts w:eastAsia="Calibri"/>
                <w:color w:val="808080" w:themeColor="background1" w:themeShade="80"/>
              </w:rPr>
              <w:t>CO3</w:t>
            </w:r>
          </w:p>
        </w:tc>
        <w:tc>
          <w:tcPr>
            <w:tcW w:w="694" w:type="dxa"/>
            <w:shd w:val="clear" w:color="auto" w:fill="auto"/>
          </w:tcPr>
          <w:p w:rsidR="00CA7253" w:rsidRPr="009C37A6" w:rsidRDefault="00CA7253" w:rsidP="00474D6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  <w:r>
              <w:rPr>
                <w:rFonts w:eastAsia="Calibri"/>
                <w:color w:val="808080" w:themeColor="background1" w:themeShade="80"/>
              </w:rPr>
              <w:t>L2</w:t>
            </w:r>
          </w:p>
        </w:tc>
      </w:tr>
      <w:tr w:rsidR="00CA7253" w:rsidRPr="009C37A6" w:rsidTr="00474D69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253" w:rsidRPr="003C4E4A" w:rsidRDefault="00CA7253" w:rsidP="00474D69">
            <w:pPr>
              <w:spacing w:line="254" w:lineRule="exact"/>
              <w:ind w:right="-20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 xml:space="preserve"> (b)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253" w:rsidRPr="00C00B1C" w:rsidRDefault="00CA7253" w:rsidP="00474D69">
            <w:pPr>
              <w:rPr>
                <w:color w:val="auto"/>
              </w:rPr>
            </w:pPr>
            <w:r>
              <w:t>Explain Similarity and Dissimilarity.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253" w:rsidRPr="003C4E4A" w:rsidRDefault="00CA7253" w:rsidP="00474D69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[4]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auto"/>
          </w:tcPr>
          <w:p w:rsidR="00CA7253" w:rsidRPr="009C37A6" w:rsidRDefault="00CA7253" w:rsidP="00474D6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  <w:r>
              <w:rPr>
                <w:rFonts w:eastAsia="Calibri"/>
                <w:color w:val="808080" w:themeColor="background1" w:themeShade="80"/>
              </w:rPr>
              <w:t>CO1</w:t>
            </w:r>
          </w:p>
        </w:tc>
        <w:tc>
          <w:tcPr>
            <w:tcW w:w="694" w:type="dxa"/>
            <w:shd w:val="clear" w:color="auto" w:fill="auto"/>
          </w:tcPr>
          <w:p w:rsidR="00CA7253" w:rsidRPr="009C37A6" w:rsidRDefault="00CA7253" w:rsidP="00474D6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  <w:r>
              <w:rPr>
                <w:rFonts w:eastAsia="Calibri"/>
                <w:color w:val="808080" w:themeColor="background1" w:themeShade="80"/>
              </w:rPr>
              <w:t>L1</w:t>
            </w:r>
          </w:p>
        </w:tc>
      </w:tr>
      <w:tr w:rsidR="00CA7253" w:rsidRPr="009C37A6" w:rsidTr="00474D69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253" w:rsidRDefault="00CA7253" w:rsidP="00474D69">
            <w:pPr>
              <w:spacing w:line="254" w:lineRule="exact"/>
              <w:ind w:right="-20"/>
              <w:rPr>
                <w:rFonts w:eastAsia="Calibri"/>
                <w:position w:val="1"/>
              </w:rPr>
            </w:pP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253" w:rsidRDefault="00CA7253" w:rsidP="00474D69">
            <w:pPr>
              <w:rPr>
                <w:color w:val="auto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253" w:rsidRDefault="00CA7253" w:rsidP="00474D69">
            <w:pPr>
              <w:spacing w:before="2"/>
              <w:ind w:right="-20"/>
              <w:jc w:val="center"/>
              <w:rPr>
                <w:rFonts w:eastAsia="Calibri"/>
              </w:rPr>
            </w:pP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auto"/>
          </w:tcPr>
          <w:p w:rsidR="00CA7253" w:rsidRDefault="00CA7253" w:rsidP="00474D6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  <w:tc>
          <w:tcPr>
            <w:tcW w:w="694" w:type="dxa"/>
            <w:shd w:val="clear" w:color="auto" w:fill="auto"/>
          </w:tcPr>
          <w:p w:rsidR="00CA7253" w:rsidRDefault="00CA7253" w:rsidP="00474D6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</w:p>
        </w:tc>
      </w:tr>
      <w:tr w:rsidR="00CA7253" w:rsidRPr="009C37A6" w:rsidTr="00474D69">
        <w:trPr>
          <w:trHeight w:val="288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253" w:rsidRPr="003C4E4A" w:rsidRDefault="00CA7253" w:rsidP="00474D69">
            <w:pPr>
              <w:spacing w:line="254" w:lineRule="exact"/>
              <w:ind w:right="-20"/>
              <w:rPr>
                <w:rFonts w:eastAsia="Calibri"/>
                <w:position w:val="1"/>
              </w:rPr>
            </w:pPr>
            <w:r>
              <w:rPr>
                <w:rFonts w:eastAsia="Calibri"/>
                <w:position w:val="1"/>
              </w:rPr>
              <w:t>10(a)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253" w:rsidRPr="00C00B1C" w:rsidRDefault="00CA7253" w:rsidP="00474D69">
            <w:pPr>
              <w:rPr>
                <w:color w:val="auto"/>
              </w:rPr>
            </w:pPr>
            <w:r>
              <w:rPr>
                <w:color w:val="auto"/>
              </w:rPr>
              <w:t>Discuss the data mining task in detail.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A7253" w:rsidRPr="003C4E4A" w:rsidRDefault="00CA7253" w:rsidP="00474D69">
            <w:pPr>
              <w:spacing w:before="2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[10]</w:t>
            </w:r>
          </w:p>
        </w:tc>
        <w:tc>
          <w:tcPr>
            <w:tcW w:w="620" w:type="dxa"/>
            <w:tcBorders>
              <w:left w:val="single" w:sz="4" w:space="0" w:color="auto"/>
            </w:tcBorders>
            <w:shd w:val="clear" w:color="auto" w:fill="auto"/>
          </w:tcPr>
          <w:p w:rsidR="00CA7253" w:rsidRPr="009C37A6" w:rsidRDefault="00CA7253" w:rsidP="00474D6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  <w:r>
              <w:rPr>
                <w:rFonts w:eastAsia="Calibri"/>
                <w:color w:val="808080" w:themeColor="background1" w:themeShade="80"/>
              </w:rPr>
              <w:t>CO3</w:t>
            </w:r>
          </w:p>
        </w:tc>
        <w:tc>
          <w:tcPr>
            <w:tcW w:w="694" w:type="dxa"/>
            <w:shd w:val="clear" w:color="auto" w:fill="auto"/>
          </w:tcPr>
          <w:p w:rsidR="00CA7253" w:rsidRPr="009C37A6" w:rsidRDefault="00CA7253" w:rsidP="00474D69">
            <w:pPr>
              <w:spacing w:before="2"/>
              <w:ind w:right="-20"/>
              <w:jc w:val="center"/>
              <w:rPr>
                <w:rFonts w:eastAsia="Calibri"/>
                <w:color w:val="808080" w:themeColor="background1" w:themeShade="80"/>
              </w:rPr>
            </w:pPr>
            <w:r>
              <w:rPr>
                <w:rFonts w:eastAsia="Calibri"/>
                <w:color w:val="808080" w:themeColor="background1" w:themeShade="80"/>
              </w:rPr>
              <w:t>L2</w:t>
            </w:r>
          </w:p>
        </w:tc>
      </w:tr>
    </w:tbl>
    <w:p w:rsidR="00CA7253" w:rsidRDefault="00CA7253" w:rsidP="00367D6F">
      <w:pPr>
        <w:pStyle w:val="Normal1"/>
      </w:pPr>
    </w:p>
    <w:sectPr w:rsidR="00CA7253" w:rsidSect="005C3D21">
      <w:footerReference w:type="default" r:id="rId9"/>
      <w:pgSz w:w="11900" w:h="16840" w:code="9"/>
      <w:pgMar w:top="36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326" w:rsidRDefault="00885326" w:rsidP="0067376D">
      <w:r>
        <w:separator/>
      </w:r>
    </w:p>
  </w:endnote>
  <w:endnote w:type="continuationSeparator" w:id="1">
    <w:p w:rsidR="00885326" w:rsidRDefault="00885326" w:rsidP="0067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76D" w:rsidRDefault="0067376D">
    <w:pPr>
      <w:pStyle w:val="Normal1"/>
      <w:tabs>
        <w:tab w:val="center" w:pos="4320"/>
        <w:tab w:val="right" w:pos="8640"/>
      </w:tabs>
      <w:spacing w:after="7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326" w:rsidRDefault="00885326" w:rsidP="0067376D">
      <w:r>
        <w:separator/>
      </w:r>
    </w:p>
  </w:footnote>
  <w:footnote w:type="continuationSeparator" w:id="1">
    <w:p w:rsidR="00885326" w:rsidRDefault="00885326" w:rsidP="00673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376D"/>
    <w:rsid w:val="00012BC2"/>
    <w:rsid w:val="00016F56"/>
    <w:rsid w:val="000172ED"/>
    <w:rsid w:val="00050606"/>
    <w:rsid w:val="00063F39"/>
    <w:rsid w:val="00083A27"/>
    <w:rsid w:val="00083D72"/>
    <w:rsid w:val="000924D7"/>
    <w:rsid w:val="000B0915"/>
    <w:rsid w:val="000C0FF7"/>
    <w:rsid w:val="000C5011"/>
    <w:rsid w:val="000C64F6"/>
    <w:rsid w:val="001327FD"/>
    <w:rsid w:val="001441CE"/>
    <w:rsid w:val="001679BF"/>
    <w:rsid w:val="0017197E"/>
    <w:rsid w:val="00184EDE"/>
    <w:rsid w:val="00191BE7"/>
    <w:rsid w:val="001972C6"/>
    <w:rsid w:val="001E32E8"/>
    <w:rsid w:val="001F614D"/>
    <w:rsid w:val="0021582E"/>
    <w:rsid w:val="00216B92"/>
    <w:rsid w:val="00232668"/>
    <w:rsid w:val="002E2FE1"/>
    <w:rsid w:val="00300306"/>
    <w:rsid w:val="00300671"/>
    <w:rsid w:val="00313989"/>
    <w:rsid w:val="00367D6F"/>
    <w:rsid w:val="0044594A"/>
    <w:rsid w:val="00452463"/>
    <w:rsid w:val="00466419"/>
    <w:rsid w:val="00487081"/>
    <w:rsid w:val="004A5435"/>
    <w:rsid w:val="004B4485"/>
    <w:rsid w:val="004D448A"/>
    <w:rsid w:val="004E063D"/>
    <w:rsid w:val="004F20B5"/>
    <w:rsid w:val="004F2A74"/>
    <w:rsid w:val="004F75A5"/>
    <w:rsid w:val="005155E6"/>
    <w:rsid w:val="0052681B"/>
    <w:rsid w:val="005A31C8"/>
    <w:rsid w:val="005C2706"/>
    <w:rsid w:val="005C3D21"/>
    <w:rsid w:val="005E56E9"/>
    <w:rsid w:val="005F658F"/>
    <w:rsid w:val="00635785"/>
    <w:rsid w:val="006518D8"/>
    <w:rsid w:val="0067376D"/>
    <w:rsid w:val="006F6D0F"/>
    <w:rsid w:val="00705F16"/>
    <w:rsid w:val="00720D40"/>
    <w:rsid w:val="00794AC3"/>
    <w:rsid w:val="007A039F"/>
    <w:rsid w:val="007B194E"/>
    <w:rsid w:val="007C60D1"/>
    <w:rsid w:val="008357F9"/>
    <w:rsid w:val="00885326"/>
    <w:rsid w:val="009210D3"/>
    <w:rsid w:val="00937053"/>
    <w:rsid w:val="00997945"/>
    <w:rsid w:val="009E5DDD"/>
    <w:rsid w:val="00A0584F"/>
    <w:rsid w:val="00AB1148"/>
    <w:rsid w:val="00AC047D"/>
    <w:rsid w:val="00AC5904"/>
    <w:rsid w:val="00AF64C9"/>
    <w:rsid w:val="00B019EE"/>
    <w:rsid w:val="00B0735F"/>
    <w:rsid w:val="00B1175E"/>
    <w:rsid w:val="00B138A8"/>
    <w:rsid w:val="00B22F2C"/>
    <w:rsid w:val="00B25D58"/>
    <w:rsid w:val="00B30B6C"/>
    <w:rsid w:val="00B47F6B"/>
    <w:rsid w:val="00B618F2"/>
    <w:rsid w:val="00B7395C"/>
    <w:rsid w:val="00BD6D20"/>
    <w:rsid w:val="00BE3FC0"/>
    <w:rsid w:val="00C00B1C"/>
    <w:rsid w:val="00C065C5"/>
    <w:rsid w:val="00C63365"/>
    <w:rsid w:val="00C873B4"/>
    <w:rsid w:val="00C968E4"/>
    <w:rsid w:val="00CA7253"/>
    <w:rsid w:val="00CC29DF"/>
    <w:rsid w:val="00D11578"/>
    <w:rsid w:val="00D26F61"/>
    <w:rsid w:val="00D41868"/>
    <w:rsid w:val="00D41ACD"/>
    <w:rsid w:val="00D47DF7"/>
    <w:rsid w:val="00D6703B"/>
    <w:rsid w:val="00D97850"/>
    <w:rsid w:val="00DC6B28"/>
    <w:rsid w:val="00E610F6"/>
    <w:rsid w:val="00E62AEA"/>
    <w:rsid w:val="00EF77C6"/>
    <w:rsid w:val="00F56E5A"/>
    <w:rsid w:val="00F85FF8"/>
    <w:rsid w:val="00FD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904"/>
  </w:style>
  <w:style w:type="paragraph" w:styleId="Heading1">
    <w:name w:val="heading 1"/>
    <w:basedOn w:val="Normal1"/>
    <w:next w:val="Normal1"/>
    <w:rsid w:val="0067376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7376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7376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7376D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67376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7376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376D"/>
  </w:style>
  <w:style w:type="paragraph" w:styleId="Title">
    <w:name w:val="Title"/>
    <w:basedOn w:val="Normal1"/>
    <w:next w:val="Normal1"/>
    <w:rsid w:val="0067376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7376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376D"/>
    <w:pPr>
      <w:contextualSpacing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7376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67376D"/>
    <w:pPr>
      <w:contextualSpacing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67376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6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81B"/>
  </w:style>
  <w:style w:type="paragraph" w:styleId="Footer">
    <w:name w:val="footer"/>
    <w:basedOn w:val="Normal"/>
    <w:link w:val="FooterChar"/>
    <w:uiPriority w:val="99"/>
    <w:semiHidden/>
    <w:unhideWhenUsed/>
    <w:rsid w:val="00526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81B"/>
  </w:style>
  <w:style w:type="paragraph" w:styleId="NoSpacing">
    <w:name w:val="No Spacing"/>
    <w:uiPriority w:val="1"/>
    <w:qFormat/>
    <w:rsid w:val="00452463"/>
    <w:rPr>
      <w:color w:val="auto"/>
    </w:rPr>
  </w:style>
  <w:style w:type="paragraph" w:styleId="ListParagraph">
    <w:name w:val="List Paragraph"/>
    <w:basedOn w:val="Normal"/>
    <w:uiPriority w:val="34"/>
    <w:qFormat/>
    <w:rsid w:val="00AF64C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auto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cmrit</dc:creator>
  <cp:lastModifiedBy>senthil</cp:lastModifiedBy>
  <cp:revision>9</cp:revision>
  <dcterms:created xsi:type="dcterms:W3CDTF">2018-03-14T08:54:00Z</dcterms:created>
  <dcterms:modified xsi:type="dcterms:W3CDTF">2018-03-14T10:26:00Z</dcterms:modified>
</cp:coreProperties>
</file>